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NER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Задача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Одна из сложных задач в анализе текста - распознавание именованных сущностей или Named Entity Recognition (NER). В рамках соревнования требуется по тексту письма предсказать какие из его частей относятся к определенным категориям: имя магазина, номер заказа, имя товара, артикулы товаров, итоговая сумма, типы товаров.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Данные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Участникам будет выдан набор писем с разметкой, а именно: исходное eml-письмо, распаршенный дефолтным парсером текст, разметка для этого текста. Разметка состоит в сопоставлении каждого токена текста одной из категорий: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Продавцы товаров (магазины, сайты и т. п.) -  метка «SHOP»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Заказы и их номера - метка «ORDER»,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Товары, которые покупаются (заказываются, бронируются и т. п.) пользователем в письме - "PRODUCT"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Артикулы (номера, коды, шифры и т. п.) этих товаров - "ARTICUL"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Итоговая сумма</w:t>
      </w:r>
      <w:r w:rsidDel="00000000" w:rsidR="00000000" w:rsidRPr="00000000">
        <w:rPr>
          <w:sz w:val="24"/>
          <w:szCs w:val="24"/>
          <w:rtl w:val="0"/>
        </w:rPr>
        <w:t xml:space="preserve"> заказа в данном письме - "PRICE". Под итоговой суммой подразумевается общая сумма заказа, а не его отдельные части.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Типы товаров, которые, в принципе, продает магазин (в том числе, например, те товары, которые магазин рекламирует покупателю, но которые не включены в заказ) - "PRODUCT_TYPE"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60" w:line="276" w:lineRule="auto"/>
        <w:ind w:left="1160" w:hanging="360"/>
        <w:contextualSpacing w:val="1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OUT - все прочие токены.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*К метке первого токена каждой сущности всегда добавляется префикс "B-" (даже если сущность состоит из одного токена).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 разметки из одного из писем: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Магазин    B-SHOP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Lamoda    SHOP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    OUT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Мужская    B-PRODUCT_TYPE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одежда    PRODUCT_TYPE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Женская    B-PRODUCT_TYPE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одежда    PRODUCT_TYPE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Письма были получены путем регистрации заказов популярных магазинов на несколько тестовых ящиков, а затем размечены асессорами.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Участникам будет предоставлен код токенайзера и базовый пример для обучения на такой выборке</w:t>
      </w:r>
      <w:r w:rsidDel="00000000" w:rsidR="00000000" w:rsidRPr="00000000">
        <w:rPr>
          <w:sz w:val="24"/>
          <w:szCs w:val="24"/>
          <w:rtl w:val="0"/>
        </w:rPr>
        <w:t xml:space="preserve"> для снижения порога входа в задачу.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Evaluation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Метрика качества предсказаний - средняя </w:t>
      </w: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F1-мера</w:t>
        </w:r>
      </w:hyperlink>
      <w:r w:rsidDel="00000000" w:rsidR="00000000" w:rsidRPr="00000000">
        <w:rPr>
          <w:sz w:val="24"/>
          <w:szCs w:val="24"/>
          <w:rtl w:val="0"/>
        </w:rPr>
        <w:t xml:space="preserve"> по токенам. 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 конец соревнования будет выдан тест-сет, на котором будет необходимо прогнать свою модель и сформировать submission файл. Чтобы исключить возможность влияния ручной разметки на результаты, топовые решения, претендующие на призы, должны будут подтвердить свои результаты, продемонстрировав жюри работу evaluation скрипта и его результата.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Формат сабмита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качестве решения нужно предоставить файл, аналогичный train выборке, с размеченными категориями для каждого токена. Пример: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Вас    OUT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приветствует    OUT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замечательный    OUT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интернет    B-SHOP</w:t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  SHOP</w:t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магазин        SHOP</w:t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канцелярских    SHOP</w:t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товаров    SHOP</w:t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    SHOP</w:t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Ромашка    SHOP</w:t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    SHOP</w:t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,    OUT</w:t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лучший    OUT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магазин    OUT</w:t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   OUT</w:t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выбору    OUT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покупателей    OUT</w:t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предоставим документ-инструкцию для разметки, которая использовалась асессорами для составления этого датасета, в которой подробно изложены все аспекты и формат данных.</w:t>
      </w:r>
    </w:p>
    <w:p w:rsidR="00000000" w:rsidDel="00000000" w:rsidP="00000000" w:rsidRDefault="00000000" w:rsidRPr="00000000" w14:paraId="00000037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 кода скриптов, подсчитывающих результирующий скор по каждой задаче, будет предоставлен участникам.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4a4a4a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vernote.com/OutboundRedirect.action?dest=https%3A%2F%2Fen.wikipedia.org%2Fwiki%2FF1_s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